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  <w:t>附件5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渭南市小额贷款公司评价体系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firstLine="64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一、指标体系及权重</w:t>
      </w:r>
    </w:p>
    <w:tbl>
      <w:tblPr>
        <w:tblStyle w:val="4"/>
        <w:tblpPr w:leftFromText="180" w:rightFromText="180" w:vertAnchor="text" w:horzAnchor="page" w:tblpXSpec="center" w:tblpY="110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88"/>
        <w:gridCol w:w="752"/>
        <w:gridCol w:w="3297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指标类型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一级指标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分项满分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定量指标</w:t>
            </w: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涉农及小微企业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涉农及小微企业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贷款户数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税收</w:t>
            </w:r>
          </w:p>
        </w:tc>
        <w:tc>
          <w:tcPr>
            <w:tcW w:w="3297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对渭南市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县两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级作出的税收贡献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3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204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定性指标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依法合规</w:t>
            </w:r>
          </w:p>
        </w:tc>
        <w:tc>
          <w:tcPr>
            <w:tcW w:w="4049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按照监管部门要求，每月按时保质上报数据，配合开展“双随机一公开”检查、年审等工作，对发现问题及时整改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204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337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737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二、评分规则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（一）总分=各单项得分之和。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（二）除税收外的定量指标评分规则为：单项得分=单项满分×（单项指标值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分组单项指标最小值）/（分组单项指标最大值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分组单项指标最小值）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（三）税收指标评分规则为：对渭南市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县两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级税收贡献在行业内排名居前5名的，计10分；排名6-8名的，计8分；排名8名以后的，计6分。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（四）依法合规指标评分规则为：按照监管部门要求，每月按时保质上报数据，配合开展“双随机一公开”检查、年审等工作，对发现问题及时整改的，计20分，有一项未达到要求的，扣2分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，最高扣20分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 xml:space="preserve">   </w:t>
      </w:r>
      <w:r>
        <w:rPr>
          <w:rFonts w:hint="default" w:ascii="Times New Roman" w:hAnsi="Times New Roman" w:eastAsia="CESI黑体-GB2312" w:cs="Times New Roman"/>
          <w:b w:val="0"/>
          <w:bCs w:val="0"/>
          <w:color w:val="auto"/>
          <w:sz w:val="32"/>
          <w:szCs w:val="32"/>
          <w:lang w:val="en-US" w:eastAsia="zh-CN"/>
        </w:rPr>
        <w:t>三、加分项</w:t>
      </w:r>
    </w:p>
    <w:p>
      <w:pPr>
        <w:pStyle w:val="2"/>
        <w:keepNext w:val="0"/>
        <w:keepLines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积极开展产品和业务创新，每创新一项，加2分，最多加10分。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渭南市小额贷款公司评价数据报送表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填报单位（盖章）：           填报人：        联系电话：</w:t>
      </w:r>
    </w:p>
    <w:tbl>
      <w:tblPr>
        <w:tblStyle w:val="4"/>
        <w:tblpPr w:leftFromText="180" w:rightFromText="180" w:vertAnchor="text" w:horzAnchor="page" w:tblpXSpec="center" w:tblpY="110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688"/>
        <w:gridCol w:w="2906"/>
        <w:gridCol w:w="1215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82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指标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二级指标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数据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CESI黑体-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定量指标</w:t>
            </w:r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余额（万元）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增量（万元）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涉农及小微企业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贷款金额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余额（万元）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万元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涉农及小微企业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贷款户数</w:t>
            </w:r>
          </w:p>
        </w:tc>
        <w:tc>
          <w:tcPr>
            <w:tcW w:w="2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总量（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增量（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8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增速（%）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337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定性指标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683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佐证资料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ZDgyMmIxMjdmZDBjMTQ0ZmNlZGMwMDg2ZDE0NWMifQ=="/>
  </w:docVars>
  <w:rsids>
    <w:rsidRoot w:val="4F637F66"/>
    <w:rsid w:val="4F6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2023-03-21T09:56:00Z</dcterms:created>
  <dc:creator>　melody</dc:creator>
  <cp:lastModifiedBy>　melody</cp:lastModifiedBy>
  <dcterms:modified xsi:type="dcterms:W3CDTF">2023-03-21T09:56:21Z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2DAEB8EA1F614926BE68715D0E23DCC4</vt:lpwstr>
  </property>
</Properties>
</file>